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20.08.2020, оставленным без изменения постановлением Семнадцатого арбитражного апелляционного суда от 14.12.2020 и постановлением Арбитражного суда Уральского округа от 12.03.2021,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При рассмотрении дела судами установлено, что на основании рейдового задания на проверку транспортных средств в процессе их эксплуатации проведена проверка автотранспортного средства марки Форд Транзит, государственный регистрационный знак А586ХТ/196, используемого обществом для осуществления перевозок пассажиров. В ходе проверки установлены нарушения требований правил безопасности перевозок пассажиров и грузов автомобильным транспортом. Так, 09.10.2019 года в 11 часов 55 минут водителем транспортного средства, используемого обществом для осуществления перевозки пассажиров по регулярному межрегиональному маршруту № 1119 «Промысла Екатеринбург», допущена посадка трех пассажиров в неустановленном месте. По результатам проведенной рейдовой проверки управлением вынесено постановление от 24.10.2019 № 002021/66 о привлечении общества к административной ответственности, предусмотренной частью 6 статьи 12.31.1 Кодекса Российской Федерации об административных правонарушениях, в виде административного штрафа в размере 25 000 рублей. Кроме того, обществу выдано предписание об обеспечении осуществления посадки, высадки пассажиров только в установленных расписанием остановочных пунктах по маршруту регулярных перевозок. Не согласившись с выданным предписанием, общество обратилось в арбитражный суд. Удовлетворяя заявление,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26.12.2008№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10.12.1995 № 196-ФЗ «О безопасности дорожного движения»,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Приказом Минтранса России от 15.01.2014 № 7, пришли к выводу о том, что предписание управления не соответствует положениям законодательства и нарушает права и законные интересы заявителя, с чем согласился суд округа. 3 Суды исходили из того, что в рассматриваемом случае предписание об устранении нарушений требований транспортного законодательства могло быть выдано только по результатам проведения такого мероприятия, как проверка. Сведений о проведении в отношении заявителя проверки, по результатам которой было выдано предписание, в материалы дела не представлено, как и доказательств проведения административного расследования. С учетом несоблюдения установленной процедуры принятия ненормативного правового акта, суды пришли к выводу о том, что предписание, выданное по результатам рейдового осмотра, существенно нарушает права заявителя, в связи с чем оспариваемое предписание признано недействительным. Доводы жалобы являлись предметом рассмотрения судов трех инстанций, направлены на переоценку установленных обстоятельств,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Уральскому межрегиональному управлению государственного автодорожного надзора Федеральной службы по надзору в сфере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