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23.06.2020, оставленным без изменения постановлением Семнадцатого арбитражного апелляционного суда от 30.10.2020, иск удовлетворен. Арбитражный суд Уральского округа постановлением от 16.02.2021 решение от 23.06.2020 и постановление Семнадцатого арбитражного апелляционного суда от 30.10.2020 оставил без изменения. В кассационной жалобе банк просит об отмене судебных актов, ссылаясь на отсутствие у спорной суммы признаков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Действие банка по зачислению денежных средств на банковский счет клиента оценено судами как не требующее затрат и являющееся его обязанностью в силу закона (статья 845 Гражданского кодекса Российской Федерации), а удержанная за его совершение комиссия – основанной на несправедливом не подлежащем применению условии договора банковского счета, поэтому обладающей признаками, указанными в статье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