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города Москвы от 10.07.2020, оставленным без изменения постановлением Девятого арбитражного апелляционного суда от 16.10.2020, взыскано 2 242 527 рублей 92 копейки страхового возмещения, 72 851 рубль 40 копеек процентов за период с 23.05.2018 по 31.10.2018 и с 01.11.2018 по день фактической оплаты задолженности исходя из ключевой ставки Центрального банка Российской Федерации в соответствующие периоды, 50 850 рублей расходов на эвакуацию. Арбитражный суд Московской округа постановлением от 16.02.2021 решение от 10.07.2020 и постановление Девятого арбитражного апелляционного суда от 16.10.2020 оставил без изменения. 2 В кассационной жалобе общество «Томский ВторЧерМет» просит об отмене судебных актов в неудовлетворенной части иска, ссылаясь на определение размера убытков в противоречие с согласованным порядком.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Размер убытков в застрахованном имуществе установлен на основании доказательств, переоценка которых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«Томский ВторЧерМет»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