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01.09.2020, оставленным без изменения постановлением Девятнадцатого арбитражного апелляционного суда от 26.11.2020 и постановлением Арбитражного суда Центрального округа от 15.02.2021,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предпринимателем услуг в рамках спорного договора, отсутствие доказательств их оплаты обществом в полном объеме, руководствуясь статьями 307, 309, 310, 395, 779, 781, 783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«СтройТех-Оскол»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