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18.09.2020, оставленным без изменения постановлением Одиннадцатого арбитражного апелляционного суда от 10.12.2020 и постановлением Арбитражного суда Поволжского округа от 02.03.2021, в удовлетворении иска отказано. В кассационной жалобе, поданной в Верховный Суд Российской Федерации, общество, ссылаясь на незаконность указанных судебных актов, просит их отменить и принять новый судебный акт об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Суды первой и апелляционной инстанций, с которыми впоследствии согласился суд округа,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210, 1064 Гражданского кодекса Российской Федерации, статьей 30 Жилищного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пришли к выводу об отсутствии оснований для удовлетворения иска, исходя из недоказанности истцом совокупности условий, необходимых для взыскания с ответчика ущерба. Выводы судов подробно мотивированы в обжалуемых судебных актах.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