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11.06.2020, оставленным без изменения постановлением Тринадцатого арбитражного апелляционного суда от 30.09.2020 и постановлением Арбитражного суда Северо-Западного округа от 11.03.2021, в удовлетворении иска отказано. В кассационной жалобе, поданной в Верховный Суд Российской Федерации, компания, ссылаясь на нарушение судами норм права, несоответствие их выводов фактическим обстоятельствам дела, просит отменить указанные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Как следует из судебных актов, требования компании (генподрядчик) мотивированы тем, что им в рамках договора строительного подряда от 01.08.2017 № 170801-М-СМР-ГКО обществу (подрядчик) были перечислены денежные средства в общей сумме 62 746 326 руб. 90 коп., однако подрядчиком выполнены работы на сумму 54 244 387 руб. 60 коп. Исследовав и оценив по правилам статьи 71 Арбитражного процессуального кодекса Российской Федерации представленные в материалы дела доказательства, суды первой и апелляционной инстанций установили, что объект, на котором обществом выполнены спорные работы, введен в эксплуатацию на основании соответствующего разрешения, дополнительные работы по пуско-наладке смонтированных инженерных систем, без выполнения которых было невозможно принять объект в эксплуатацию, завершены, имеют потребительскую ценность для компании, фактически ею были согласованы и приняты. Признав подтвержденным факт выполнения обществом работ по монтажу инженерных систем и пусконаладочных работ, оплаченных компанией в общей сумме 62 746 326 руб. 90 коп. (в том числе 54 244 387 руб. 60 коп. – за работы по монтажу инженерных систем безопасности по заданию генподрядчика и 8 501 939 руб. 30 коп. – за пусконаладочные работы указанных систем), руководствуясь статьями 702, 711, 715, 1102 Гражданского кодекса Российской Федерации, статьей 55 Градостроительного кодекса Российской Федерации, Сводом правил 76.13330.2016 «Электротехнические устройства. Актуализированная редакция СНиП 3.05.06-85», утвержденным приказом Министерства строительства и жилищно-коммунального хозяйства Российской Федерации от 16.12.2016 № 955/пр, суды пришли к выводу об отсутствии оснований для удовлетворения иска. Суд округа согласился с выводами судов первой и апелляционной инстанций. Доводы кассационной жалобы были предметом рассмотрения судов и получили правовую оценку, не опровергают выводы судов, направлены на переоценку обстоятельств, установленных судами, и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«Строительная компания «Мир»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