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14.08.2020, оставленным без изменения постановлением Пятнадцатого арбитражного апелляционного суда от 14.10.2020 и постановлением Арбитражного суда Северо-Кавказского округа от 15.02.2021, взыскано 143 808 рублей неустойки; в удовлетворении остальной части иска отказано в связи с истечением срока исковой давности, о применении которой заявил ответчик. В кассационной жалобе компания просит о пересмотре судебных актов, ссылаясь на неправильное определение начала течения срока исковой давности и периода приостановления течения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положенном включении в период приостановления течения срока исковой давности срока хранения почтового отправления с претензией противоречит согласованному договором сроку урегулирования спора и статье 202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«Южная транспортно-экспедиторская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