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15.09.2020, оставленным без изменения постановлением Восьмого арбитражного апелляционного суда от 24.11.2020 и постановлением Арбитражного суда Западно-Сибирского округа от 18.02.2021, иск удовлетворен за счет компании. В кассационной жалобе компания просит об отмене судебных актов, ссылаясь на неопределение доли других участвующих в деле лиц в заявленных убытках.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причинно-следственной связи убытков с действиями причинителя вреда находится в компетенции судов и суды установили связь убытков с действиями компании по управлению многоквартирным домом, поэтому возложили на нее убытки в соответствии со статьями в 15, 1064 Гражданского кодекса Российской Федерации, статьей 162 Жилищного кодекса Российской Федерации. Суды рассмотрели возражения компании о причастности другого ответчика и третьего лица к причинению убытков и признали их не подтвержденными.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