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03.07.2020, оставленным без изменения постановлением Восьмого арбитражного апелляционного суда от 29.09.2020 и постановлением Арбитражного суда Западно-Сибирского округа от 09.02.2021, первоначальный иск удовлетворен, в удовлетворении встречного иска отказано. В кассационной жалобе общество «ДорЖилСтрой» просит о пересмотре судебных актов в отношении неустойки по встречному иску в связи с ненадлежащим исследованием и оценкой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недоказанность заявленного во встречном иске основания для взыскания договорной неустойки, поэтому отказали в ее взыскании. Вопросы доказывания и оценки доказательств, на которых основаны доводы жалобы, не отнесены к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«ДорЖилСтрой»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