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16.07.2020, оставленным без изменения постановлением Девятого арбитражного апелляционного суда от 29.10.2020, взыскано 851 753 рубля 95 копеек повышенных процентов. Арбитражный суд Московского округа постановлением от 12.02.2021 решение от 16.07.2020 и постановление Девятого арбитражного апелляционного суда от 29.10.2020 оставил без изменения В кассационной жалобе общество «СИТИСЕРВИС» просит об отмене судебных актов, ссылаясь на отсутствие преюдиции в вопросе оценки характера процентов и неосновательные применение исковой давности и уменьшение процентов.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Судебный акт по делу № А40-33749/2010 принят по спору об исполнении договора, являющегося основанием рассматриваемого иска, обязателен в силу закона и для истца как правопреемника заимодавца. Суды в том числе с учетом установленных в названном деле обстоятельств признали заявленные проценты ответственностью на нарушение обязательства. Обстоятельства, составляющие условия для применения договорной ответственности и влияющие на ее размер, установлены судами в соответствии со статьями 431, 333, 196 Гражданского кодекса российской Федерации и связанные с ними доводы не отвечают критериям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«СИТИСЕРВИС»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