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07.08.2020 в удовлетворении иска отказано. Девятый арбитражный апелляционный суд постановлением от 09.11.2020 решение от 07.08.2020 отменил и иск удовлетворил. Арбитражный суд Московского округа постановлением от 24.02.2021 отменил постановление Девятого арбитражного апелляционного суда от 09.11.2020 и оставил в силе решение от 07.08.2020. В кассационной жалобе банк просит об отмене решения и постановления окружного суда, ссылаясь на неверную квалификацию действий истца и нарушение в применении норм права об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в соответствии с установленными с делах № А41-44999/2017 и № А41-92069/2018 обстоятельствами признал, что независимая от действий цедента (ответчика) невозможность реализации банком приобретенных прав не влечет взыскания с цедента полученной за уступку суммы. Окружной суд правомерно указал, что при выборе в качестве способа защиты взыскания неосновательного обогащения при ранее предъявленных об исполнении сделки исках банк понес риск заявления ответчиком о применении исковой давности, пропуск срока которой в силу статьи 199 Гражданского кодекса Российской Федерации влечет отказ в иске.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«Акционерный коммерческий банк «Пробизнесбанк»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