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29.06.2020, оставленным без изменения постановлением Шестнадцатого арбитражного апелляционного суда от 19.10.2020, в удовлетворении иска отказано. Арбитражный суд Северо-Кавказского округа постановлением от 11.02.2021 решение от 29.06.2020 и постановление Шестнадцатого арбитражного апелляционного суда от 19.10.2020 оставил без изменения. В кассационной жалобе предприниматель просит об отмене судебных актов, ссылаясь на несоответствие выводов судов фактическим обстоятельствам дела и неправильное применение норм материального права.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 обращения за выплатой к страховщику его требование о предоставлении поврежденного транспортного средства для осмотра потерпевший не выполнил, самостоятельно организовав проведение оценки повреждений, чем нарушил установленный статьей 12 Федерального закона от 25.04.2002 № 40-ФЗ «Об обязательном страховании гражданской ответственности владельцев транспортных средств» порядок действий в связи с наступившим страховым случаем. Уклонения страховщика от организации осмотра по месту нахождения транспортного средства и невозможности представления автомобиля для осмотра по указанному страховщиком адресу, являющиеся условием для самостоятельного проведения оценки убытков, суды не установили, поэтому не признали в качестве доказательства проведенную по инициативе потерпевшей стороны оценку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Темирханову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