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22.06.2020, оставленным без изменения постановлением Восьмого арбитражного апелляционного суда от 16.09.2020, взыскано 31 724 рубля неустойки. Арбитражный суд Западно-Сибирского округа постановлением от 16.02.2021 решение от 22.06.2020 и постановление Восьмого арбитражного апелляционного суда от 16.09.2020 оставил без изменения. В кассационной жалобе предприниматель просит об отмене судебных актов, ссылаясь на неправомерный учет износа при формальном исполнении обязанности по выдаче направления на ремонт.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переход сторон на денежную форму возмещения убытков в рамках ОСАГО, предполагающую учет износа комплектующих, применение которого страховщиком признано правомерным в силу статьи 12 Федерального закона от 25.04.2002 № 40-ФЗ «Об обязательном страховании гражданской ответственности владельцев транспортных средств». Ненадлежащего исполнения страховщиком обязательств в связи с наступившим страховым случаем и обращением потерпевшего как основания для применения ответственности в силу статей 15, 393 Гражданского кодекса Российской Федерации в виде полного возмещения убытков суды не установили, поэтому в иске о взыскании страхового возмещения сверх полученного от страховщика во внесудебном порядке отказали.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Бронниковой Ю.Д.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