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05.08.2020, оставленным без изменения постановлением Тринадцатого арбитражного апелляционного суда от 03.11.2020, в удовлетворении иска отказано. Арбитражный суд Северо-Западного округа постановлением от 15.02.2021 решение от 05.08.2020 и постановление Тринадцатого арбитражного апелляционного суда от 03.11.2020 оставил без изменения В кассационной жалобе компания просит об отмене судебных актов, ссылаясь на списание спорной суммы при осведомленности о добровольном перечислении ее взыскателю.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основанием списания спорной суммы со счета компании явился судебный акт – определение арбитражного уда города Санкт- Петербурга и Ленинградской области от 10.08.2019, которое банк исполнял в качестве лица, действовавшего в силу Федерального закона от 02.10.2007 № 229-ФЗ «Об исполнительном производстве». Основанные на законе действия не создают необходимых условий для взыскания спорной суммы, требуемой истцом на основании статей 15, 393 Гражданского кодекса Российской Федерации в качестве ответственности за ненадлежащее исполнение договора банковского счета.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«Инертек»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