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30.07.2020, оставленным без изменения постановлением Девятого арбитражного апелляционного суда от 23.11.2020, в удовлетворении иска отказано. Арбитражный суд Московского округа постановлением от 18.03.2021 решение от 30.07.2020 и постановление Девятого арбитражного апелляционного суда от 23.11.2020 оставил без изменения. В кассационной жалобе предприниматель просит об отмене судебных актов, ссылаясь на игнорирование судами обстоятельств заключения договора поручительства и определения по делу № А40-56312/2017.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предприниматель также предоставил банку обеспечение исполнения третьим лицом обязательства посредством залога, следовательно, обращение взыскания на предмет залога возможно и не через оспариваемое поручительство, в признании недействительным которого отказано в том числе как не затрагивающего права предпринимателя. Определение Арбитражного суда города Москвы от 10.09.2020 по делу № А40-56312/2017 вступило в законную силу после принятия апелляционным судом постановления, проверяемого окружным судом на предмет законности на момент принятия.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Быканову А.Н.в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