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«Институт «Тюменькоммунстрой» удовлетворить. Срок подачи кассационной жалобы на решение Арбитражного суда города Москвы от 12.08.2020, постановление Девятого арбитражного апелляционного суда от 03.12.2020 и постановление Арбитражного суда Московского округа от 07.04.2021 по делу № А40-342300/2019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