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2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предприятием судебным актом является постановление Арбитражного суда Московского округа от 11.02.2021, вступившее в законную силу, согласно части 5 статьи 289 АПК РФ, со дня его принятия - 11.02.2021, следовательно, двухмесячный срок на подачу кассационной жалобы истек 12.04.2021 (с учетом выходных дней). В обоснование ходатайства заявитель указывает на то, что уже обращался с аналогичной кассационной жалобой в установленный законом срок (12.04.2021), однако жалоба была возвращена без рассмотрения в связи с нарушением требований пункта 2 части 5 статьи 291.3 АПК РФ; обстоятельства, послужившие основанием для возврата жалобы, устранены. Между тем обращение в Верховный Суд Российской Федерации с первоначальной жалобой, поданной в последний день окончания срока на обжалование судебных актов и не соответствующей требованиям арбитражного процессуального законодательства, не может считаться надлежащим обращением. Поэтому возвращение жалобы, имеющей недостатки, не может являться основанием для изменения порядка исчисления процессуального срока на ее подачу. Направляя жалобу в адрес Верховного Суда Российской Федерации с нарушением предъявляемых процессуальным законодательством требований к форме, содержанию, порядку подачи такой жалобы, заявитель должен был предвидеть последствия несоблюдения им норм процессуального законодательства.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названного Кодекса о том, что срок подачи кассационной жалобы восстанавливается в случае его пропуска по причинам, не зависящим от лица, обратившегося с такой 3 жалобой. Надлежащее оформление кассационной жалобы и ее своевременная подача зависит исключительно от самого заявителя. Имея намерение обжаловать принятые судебные акты, заявитель располагал возможностью заблаговременно обратиться с кассационной жалобой в срок, установленный частью 1 статьи 291.2 АПК РФ. Иных причин пропуска срока, не зависящих от заявителя, при наличии которых он не имел возможности своевременно и в установленном порядке обратиться с кассационной жалобой, в ходатайстве не приведено.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заявителем при подаче кассационной жалобы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Штефана Хаффнера о восстановлении пропущенного процессуального срока оставить без удовлетворения. Кассационную жалобу Штефана Хаффнера на решение Арбитражного суда города Москвы от 21.07.2020, постановление Девятого арбитражного апелляционного суда от 29.10.2020 и постановление Арбитражного суда Московского округа от 11.02.2021 по делу № А40-4991/2020 возвратить заявителю. Возвратить Штефану Хаффнеру государственную пошлину в размере 3000 рублей, уплаченную по чеку-ордеру от 28.05.2021 (операция 4988).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