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13.08.2020, оставленным без изменения постановлением Седьмого арбитражного апелляционного суда от 27.10.2020 и постановлением Арбитражного суда Западно-Сибирского округа от 16.02.2021, в удовлетворении первоначального иска отказано, встречный иск удовлетворен. В кассационной жалобе общество «Интервес» просит об отмене судебных актов, ссылаясь на игнорирование недобросовестности покупателя и недоказанность некачественности товара.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Наличие в поставленном товаре неустранимого недостатка подтверждено в двустороннем порядке, поэтому реализация обществом «Оптимкран» права на отказ от товара и возврат уплаченной за него суммы признано соответствующим статьям 456, 469, 475, 518, 523 Гражданского кодекса Российской Федерации. Требуемое заявителем изменение оценки обстоятельств исполнения обязательства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«Интервес»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