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03.07.2020, оставленным без изменения постановлением Девятого арбитражного апелляционного суда от 12.10.2020, в удовлетворении иска отказано. Арбитражный суд Московского округа постановлением от 15.02.2021 решение от 03.07.2020 и постановление Девятого арбитражного апелляционного суда от 12.10.2020 оставил без изменения. В кассационной жалобе акционерное общество «Атомэнергопроект» просит об отмене судебных актов, ссылаясь на неправильное толкование условий страхования и принятие ненадлежащего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исходя из содержания условий страхования установили, что двигатель, расходы на устранение повреждения которого в связи с производственным дефектом, не является объектом страхования по договору страхования строительно-монтажных рисков от 02.12.2013 № 30/64-5443233, поэтому признали заявленные убытки не подлежащими возмещению страховщиком в силу договора, статьи 929 Гражданского кодекса Российской Федерации. Заключение специалиста получено и оценено судами наряду с другими доказательствами в соответствии с правилами о доказывании и оценке доказательств, основанные на которых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«Атомэнергопроект»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