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Новгородской области от 22.06.2020, оставленным без изменения постановлением Четырнадцатого арбитражного апелляционного суда от 07.10.2020, в удовлетворении иска отказано. Арбитражный суд Северо-Западного округа постановлением от 10.02.2021 решение от 22.06.2020 и постановление Четырнадцатого арбитражного апелляционного суда от 07.10.2020 оставил без изменения. В кассационной жалобе завод просит об отмене судебных актов, ссылаясь на неприменение толкования и свободы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по доводам кассационной жалобы не усматривается. Суды установили, что договор страхования ответственности за качество продукции от 24.12.2018 № 1854039000007/788/2508-18 является страхованием ответственности и в силу статей 931, 932 Гражданского кодекса Российской Федерации считается заключенным в пользу третьих лиц (потребителей в принятых в договоре терминах). Собственные убытки завода (предпринимательский риск) не являются объектом страхования, поэтому в их взыскании отказано правомерно.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«123 авиационный ремонтный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