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17.07.2020, оставленным без изменения постановлением Седьмого арбитражного апелляционного суда от 21.10.2020, в удовлетворении иска отказано. Арбитражный суд Западно-Сибирского округа постановлением от 11.02.2021 решение от 17.07.2020 и постановление Седьмого арбитражного апелляционного суда от 21.10.2020 оставил без изменения. В кассационной жалобе предприятие просит об отмене судебных актов, ссылаясь на противоречие их контракту.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контракте от 10.12.2018 № 2018.600348 в характеристику события, на случай наступления которого осуществлено страхование, входит состояние лица, управляющего транспортным средством. Заявленные убытки состоят в причинно-следственной связи с состоянием водителя, управлявшего транспортным средством и действовавшим от имени предприятия, поэтому отказ во взыскании их со страховщика соответствует контракту, статье 942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«Военизированная горноспасательная часть»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