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09.07.2020, оставленным без изменения постановлением Одиннадцатого арбитражного апелляционного суда от 19.11.2020, исковое требование удовлетворено. Постановлением Арбитражного суда Поволжского округа от 04.03.2021 решение суда первой инстанции и постановление суда апелляционной инстанции отменены, в удовлетворении иска отказано. В кассационной жалобе, поданной в Верховный Суд Российской Федерации, общество, ссылаясь на существенное нарушение норм 2 материального и процессуального права, просит отменить постановление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вступившим в законную силу решением Арбитражного суда Республики Татарстан от 09.04.2019 по делу № А65-35027/2018 отказано в удовлетворении требований общества к учреждению о взыскании 4 548 578 рублей 68 копеек задолженности за выполненные работы. Указывая на невозможность получения платы за выполненные работы, общество обратилось в арбитражный суд с требованием о возврате материалов, использованных в процессе выполнения работ по договорам подряда. Удовлетворяя исковое требование, суды первой и апелляционной инстанций исходили из того, что указанные в исковом заявлении материалы были использованы при выполнении работ по договорам подряда, при этом доказательств встречного исполнения обязательства учреждением не представлено. Суд кассационной инстанции счел выводы судов ошибочными. Отменяя решение суда первой и постановление суда апелляционной инстанций, суд округа, руководствуясь положениями статей 10, 301, 1102, 1109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принимая во внимание обстоятельства, установленные по результатам рассмотрения дела № А65-35027/2018, пришел к выводу об отсутствии оснований для удовлетворения иска. Суд округа усмотрел в действиях истца злоупотребления правом и исходил из того, что поставка товаров, выполнение работ или оказание услуг в целях удовлетворения государственных или муниципальных нужд в отсутствие государственного или муниципального контракта не порождает у исполнителя как право требовать оплаты соответствующего предоставления, так и возврата в качестве неосновательного обогащения имущества (строительного материала), используемого при выполнении работ. 3 Кроме того, суд округа отметил, что избранный истцом способ защиты не отвечает принципу исполнимости судебного акта. Доводы жалобы повторяют позицию общества по спору, не свидетельствуют о неправильном применении судом округа норм материального и процессуального права, повлиявшем на исход дела или допущенной судебной ошибке, основаны на ином толковании норм права. Поскольку нарушений судом округа норм материального и процессуального права при рассмотрении дела не установлено, оснований для передачи жалобы на рассмотрение в судебном заседании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«АвтоСтройИнком»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