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10.09.2020, оставленным в без изменения постановлением Седьмого арбитражного апелляционного суда от 30.11.2020 и постановлением Арбитражного суда Западно-Сибирского округа от 15.02.2021, иск удовлетворен. В кассационной жалобе предприниматель просит об отмене судебных актов, ссылаясь на то, что не является перевозчиком утраченного груза и его довод о фальсификации обратного не проверен.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рамках данного дела суды на основании договора от 09.08.2018 № 08082018, заявки от 22.12.2018 товарно-транспортной накладной от 23.12.2018, из которых следуют обязанности предпринимателя как перевозчика в отношении груза, признали его обязанным возместить страховщику уплаченную грузовладельцу в связи с утратой груза сумму в соответствии со статьями 15, 393, 796, 965 Гражданского кодекса Российской Федерации.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Стяжкову Константину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