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заявлением о взыскании с кредитора судебных расходов на оплату юридических услуг в размере 25 000 рублей. Определением Арбитражного суда Кемеровской области от 15.09.2020, оставленным без изменения постановлениями Седьмого арбитражного апелляционного суда от 14.12.2020 и Арбитражного суда Западно-Сибирского округа от 25.02.2021, заявление удовлетворено. В кассационной жалобе, поданной в Верховный Суд Российской Федерации, заявитель просят отменить названные судебные акты и направить дело на новое рассмотрение в Арбитражный суд Кемеровской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101, 106, 110 Арбитражного процессуального кодекса Российской Федерации, разъяснениями, содержащимися в постановлении Пленума Верховного Суда РФ от 21.01.2016 № 1 «О некоторых вопросах применения законодательства о возмещении издержек, связанных с рассмотрением дела», признали требование должника о взыскании судебных расходов с кредитора, обратившегося с ходатайством об отмене плана реструктуризации долгов гражданина и не в пользу которого принят судебный акт, обоснованным и заявленным в установленный срок.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«КМПК-Сервис 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