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05.08.2020, оставленным без изменения постановлением Тринадцатого арбитражного апелляционного суда от 17.11.2020 и постановлением Арбитражного суда Северо-Западного округа от 17.02.2021, исковые требования удовлетворены. В кассационной жалобе общество «УралПак» просит о пересмотре судебных актов, ссылаясь на неисследование вопроса о качестве товара и процессуальные нарушения.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доказанным поставку ответчиком некачественного товара, влекущую в силу 454, 469, 475, 506, 518 Гражданского кодекса Российской Федерации примененные последствия. Аргумент заявителя относительно экспертизы неоснователен, поскольку согласно статье 82 Арбитражного процессуального кодекса Российской Федерации ее назначение является правом суда, обоснование неиспользования которого апелляционный суд обосновал. Довод заявителя о нарушении при рассмотрении данного дела арбитражным судом первой инстанции тайны совещания судей был предметом рассмотрения окружного суда и отклонен как не подтвержденный по результату проверки сведений, содержащихся в аудиозаписи судебного заседания.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«УралПак»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