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конкурного управляющего должником Базарнова Алексея Владимировича по включению в реестр текущих платежей требований в размере 384 582 426 рублей 09 копеек, отстранении указанного лица от исполнения обязанностей конкурсного управляющего должником. При подаче заявления общество ходатайствовало о принятии обеспечительных мер в виде запрета конкурсному управляющему распределять денежные средства, поступившие от реализации имущества должника до вступления в законную силу судебного акта по результатам рассмотрения его жалобы. Определением Арбитражного суда города Москвы от 27.08.2020, оставленным без изменения постановлениями Девятого арбитражного апелляционного суда от 24.11.2020 и Арбитражного суда Московского округа от 20.02.2021,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 руководствовались статьями 90 – 92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 и исходили из того, что заявителем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