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Еврейской автономной области от 16.09.2020, оставленным без изменения постановлением Шестого арбитражного апелляционного суда от 03.12.2020 и постановлением Арбитражного суда Дальневосточного округа от 30.03.2021, исковые требования удовлетворены. В кассационной жалобе Бодров А.В. просит о пересмотре судебных актов, ссылаясь на процессуальные нарушения, лишившие права на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Рассмотрение дела в отсутствие надлежаще извещенного ответчика не является процессуальным нарушением и не влияет на судьбу судебных актов, доводов в отношении материально-правового содержания которых в кассационной жалобе не приведено. С заявителя подлежит взысканию государственная пошлина за подачу кассационной жалобы, отсрочка уплаты которой была предоставлена.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Бодрову Александру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индивидуального предпринимателя Бодрова Александра Вячеславовича в доход федерального бюджета 3 000 (три тысячи) рублей государственной пошлины за подачу кассационной жалобы. Поручить Арбитражному суду Еврейской автономной области выдать исполнительный лист на взыскание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