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Ставропольского края от 08.09.2020, оставленным без изменения постановлением Шестнадцатого арбитражного апелляционного суда от 15.12.2020 и постановлением Арбитражного суда Северо-Кавказского округа от 10.02.2021, ассоциации во взыскании судебных расходов отказано. В кассационной жалобе ассоциация просит о пересмотре судебных актов, ссылаясь на несоответствие их ее влиянию на результат рассмотрения дела.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определили судьбу заявленных судебных расходов соответственно установленному участию ассоциации в рассмотрении дела и основываясь на правовых позициях постановления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статьях 101, 106, 110 Арбитражного процессуального кодекса Российской и действующей судебной практике.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ассоциации собственников недвижимости Ставропольского края «Партнер»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