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Ростовской области от 18.09.2020, оставленным без изменения постановлением Пятнадцатого арбитражного апелляционного суда от 18.11.2020 и постановлением Арбитражного суда Северо-Кавказского округа от 11.02.2021, иск удовлетворен. В кассационной жалобе предприниматель просит об отмене судебных актов, ссылаясь на игнорирование освобождающих от ответственности обстоятельств.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Обстоятельства, составляющие условия для применения ответственности за ненадлежащее исполнение договора поставки сельхозпродукции от 12.07.2019 № 88-П/2019 и влияющие на размер ответственности, установлены судами в соответствии с компетенцией и не отвечают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Маркину Виталию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