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17.09.2020 иск удовлетворен. Семнадцатый арбитражный апелляционный суд постановлением от 10.12.2020 отменил решение от 17.09.2020 и отказал в удовлетворении заявления о процессуальном правопреемстве и иска. Арбитражный суд Уральского округа постановлением от 17.03.2021 постановление Семнадцатого арбитражного апелляционного суда от 10.12.2020 оставил без изменения. В кассационных жалобах предприниматели просят об отмене судебных актов апелляционного и окружного судов, ссылаясь на отсутствие законных оснований для возврата исполнительного документа.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Апелляционный суд, повторно рассмотревший дело, признал расчетные операции, необходимые для исполнения судебных приказов, попадающими под внутренний контроль банка, осуществляемый во исполнение требований Федерального закона от 07.08.2011 № 115-ФЗ «О противодействии легализации (отмыванию) доходов, полученных преступным путем, и финансировании терроризма». Действия банка признаны основанными на статье 7 названного Закона, что исключает наличие необходимых в силу статей 15,1064 Гражданского кодекса Российской Федерации условий для взыскания связываемых с ними заявленных убытков как в пользу истца, так и нового кредитора (заявителя).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Давыдовой Г.В. и индивидуальному предпринимателю Синкину Д.Г.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