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08.07.2020, оставленным без изменения постановлением Девятого арбитражного апелляционного суда от 16.10.2020, в удовлетворении иска отказано. Арбитражный суд Московского округа постановлением от 10.02.2021 решение от 08.07.2020 и постановление Девятого арбитражного апелляционного суда от 16.10.2020 оставил без изменения. В кассационной жалобе общество «Центр-Транс» просит об отмене судебных актов, ссылаясь на ненадлежащее исследование признанных ответчиком безденежности займа и рыночной стоимости требования, неосновательное признание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договор займа от 29.06.2017 № 04/06/17-8 заключен до отзыва у банка лицензии и исполнен сторонами. В такой ситуации у судов в силу 10, 166, 310, 421, 432, 807, 809, 812 Гражданского кодекса Российской Федерации, их судебного толкования и практики применения отсутствовали основания для признания договора займа незаключенным.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«Центр-Транс»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"Центр-Транс" (подробнее) Ответчики: ООО "СТРОЙ ПРОММАШКОМПЛЕКТ"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