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17.07.2020, оставленным без изменения постановлением Десятого арбитражного 2 апелляционного суда от 12.10.2020 и постановлением Арбитражного суда Московского округа от 17.02.2021, заявленное требование удовлетворено. В кассационной жалобе, поданной в Верховный Суд Российской Федерации, прокуратура,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на основании договора аренды земельного участка от 02.10.2017 № 20/370 (в редакции дополнительного соглашения от 15.02.2019 № 2), заключенного с ООО УК «А класс капитал» Д.У. КЗПИФ «ПНК Девелопмент», общество арендует два земельных участка с кадастровыми номерами 50:08:0050343:426 и 50:08:0050343:427. Данные земельные участки образованы 20.02.2019 посредством раздела земельного участка с кадастровым номером 50:08:0050343:370. На основании заявления общества на земельный участок с кадастровым номером 50:08:0050343:370 оформлен градостроительный план земельного участка от 29.12.2017 № RU50504000-MSK008262 и Министерством строительного комплекса Московской области (далее - Минстрой Московской области) 09.08.2018 обществу выдано разрешение на строительство № RU50-8-11483-2018 индустриального парка «PNK-Новая Рига», а 06.09.2019 разрешение на ввод объекта в эксплуатацию. Прокуратурой 03.09.2019 проведена выездная проверка соблюдения природоохранного законодательства при использовании поверхностного водного объекта, расположенного вблизи арендованных обществом земельных участков и установлено, что в непосредственной близости от земельных участков и индустриального парка «Новая Рига» расположен поверхностный водный объект общего пользования - ручей без названия, приток первого порядка реки Белянка, который располагается на территории земельного участка с кадастровыми номером 50:08:0050343:7, граничащего с земельными участками 50:08:0050343:426 и 50:08:0050343:427. Также при осмотре прилегающей территории установлено, что вблизи пересохшего русла проведены земляные работы, работы по планировке территории грунтом; местность, прилегающая к руслу, заболочена, 3 произрастает древесно-кустарниковая растительность; местами русло ручья без названия искусственно углублено. Установив указанные обстоятельства, прокуратура 19.09.2019 вынесла представление об устранении нарушений природоохранного законодательства. Несогласие с представлением прокуратуры послужило основанием для обращения общества в арбитражный суд. Удовлетворяя заявление, суды, руководствуясь положениями Водного кодекса Российской Федерации, Федерального закона от 30.03.1999 № 52-ФЗ «О санитарно-эпидемиологическом благополучии населения», Положением о Федеральном агентстве водных ресурсов, утвержденным постановлением Правительства Российской Федерации от 16.06.2004 № 282, Санитарно- эпидемиологическими правилами СП 2.1.4.2625-10 «Зоны санитарной охраны источников питьевого водоснабжения г. Москвы», утвержденными постановлением Главного государственного санитарного врача Российской Федерации от 30.04.2010 № 45 (далее - СП 2.1.4.2625-10), постановлением Совета народных комиссаров РСФСР от 23.05.1941 № 355 «О санитарной охране Московского водопровода и источников его водоснабжения», Постановлением Правительства Москвы и Правительства Московской области от 17.12.2019 № 1705-ПП/970/44 «О зонах санитарной охраны источников питьевого и хозяйственно-бытового водоснабжения на территории города Москвы и Московской области», пришли к выводу о том, что представление прокуратуры не соответствует законодательству и нарушает права и законные интересы общества. Судебные инстанции исходили из доказанности обстоятельств того, что рассматриваемый ручей является притоком реки Беляна, которая в свою очередь впадает в реку Истра, а не реки Истра, в связи с чем ручей без названия, протекающий вблизи земельных участков общества, не относится к притокам первого порядка основных водотоков, что исключает применение ограничений, характерных для второго пояса ЗСО в соответствии с правилами, установленными СП 2.1.4.2625-10. Рассматривая представление прокуратуры на предмет его исполнимости и правовой определенности, суды указали, что прокуратура не обладает полномочиями требовать от общества, как арендатора земельных участков, внесения изменений в ЕГРН в части сокращения площади земельных участков, предпринимать какие-либо действия по внесению в ЕГРН сведений о санитарно-защитных зонах в отношении рассматриваемых земельных участков. Данное требование касается зарегистрированного права собственности, которое может быть оспорено только в судебном порядке. Кроме того, из содержания представления не следует, какие действия должно совершить общество в целях восстановления окружающей среды на земельном участке. Доводы, изложенные в кассационной жалобе, повторяют позицию прокуратуры по спору, являлись предметом рассмотрения судов,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4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природоохранной прокуратуре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