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Шливко Евгений Леонидович обратился в суд с заявлением о включении в реестр требований кредиторов должника (далее – реестр) его требований в размере 450 000 рублей. Определением Арбитражного суда города Москвы от 27.07.2020 в удовлетворении заявления отказано. Постановлением Девятого арбитражного апелляционного суда от 16.11.2020 данное определение отменено, Требование Шливко Е.Л. в общем размере 900 000 рублей признано обоснованным и подлежащим удовлетворению за счёт имущества, оставшегося после удовлетворения требований реестровых кредиторов. Постановлением Арбитражного суда Московского округа от 17.02.2021 постановление апелляционного суда от 16.11.2020 изменено. Требование Шливко Е.Л. включено в реестр с удовлетворением в третью очередь, без права его участия в первом собрании кредиторов, в том числе: 450 000 рублей основного долга, 450 000 рублей неустойки, учитываемой отдельно и подлежащей удовлетворению после погашения основной суммы задолженности. В остальной части данное постановление апелляционного суда оставлено без изменения.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апелляционный суд, руководствуясь статьями 330, 807, 809, 810 Гражданского кодекса Российской Федерации, статьями 142, 213.7, 213.8 Федерального закона от 26.10.2002 № 127-ФЗ «О несостоятельности (банкротстве)» (далее – Закон о банкротстве), исходил из обоснованности заявленных требований, но понизил очерёдность удовлетворения в связи с пропуском кредитором двухмесячного срока на его предъявление. Изменяя принятое по спору постановление, суд округа руководствовался пунктом 2 статьи 213.8, абзацем вторым пункта 4 статьи 213.19 Закона о банкротстве и исходил из того, что пропустивший срок для предъявления требования в процедуре реструктуризации кредитор утрачивает право участия в первом собрании и голосования по вопросам его повестки дня, но заявленное им требование должно удовлетворятся в общем порядке.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Аврелина Сергея Валентиновича Звонковой Ольге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