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«Компания БК» (далее – компания) обратилось в суд с возражениями на результаты рассмотрения конкурсным управляющим его требования участника строительства о передаче трёх машино-мест, расположенных по адресу: г. Москва, ул. Истринская, дом 8, корпус 3 (строительный адрес: г. Москва, ул. Истринская, вл.2-8): Определением Арбитражного суда города Москвы от 14.07.2020, оставленным без изменения постановлениями Девятого арбитражного апелляционного суда от 10.12.2020 и Арбитражного суда Московского округа от 03.03.2021, в удовлетворении заявления о включении требования компании в реестр требований участников строительства отказано. Требование в размере 4 139 350 рублей 50 копеек признано обоснованным и включено в четвёртую очередь реестра требований кредиторов должника (далее – реестр). В кассационной жалобе, поданной в Верховный Суд Российской Федерации, заявители просят отменить названные судебные акты и принять по делу новый судебный акт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71, 100, 142, 201.1, 201.4, 201.8, 201.9, 213.24 Федерального закона от 26.10.2002 № 127-ФЗ «О несостоятельности (банкротстве)», исходили из того, что восстановленное и выраженное в денежном эквиваленте требование компании, передавшей должнику спорные машино-места, обоснованно по праву и размеру, заявлено в установленный законом срок и не погашено, в связи с чем включили его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заявителями в кассационной жалобе доводы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«ФСК Альтаир» Хрусталеву Льву Алексеевичу и Попенко Анатолию Валерьевичу в передаче поданной им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