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акты. Вместе с кассационной жалобой обществом подано ходатайство о зачете государственной пошлины в размере 3000 руб., уплаченной по платежному поручению от 08.04.2021 № 57321 за рассмотрение кассационной жалобы на решение Арбитражного суда города Москвы по делу № А40-67882/2017.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2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публичного акционерного общества «Федеральная сетевая компания Единой энергетической системы» о зачете государственной пошлины удовлетворить. Зачесть уплаченную публичным акционерным обществом «Федеральная сетевая компания Единой энергетической системы» государственную пошлину в размере 3000 руб., перечисленную по платежному поручению от 08.04.2021 № 57321, в счет уплаты государственной пошлины за рассмотрение кассационной жалобы на решение Арбитражного суда города Москвы от 01.06.2020, постановление Девятого арбитражного апелляционного суда от 14.12.2020 и постановление Арбитражного суда Московского округа от 31.03.2021 по делу № А40-102293/2017.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