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10.07.2020, оставленным без изменения постановлениями Девятого арбитражного апелляционного суда от 21.09.2020 и Арбитражного суда Московского округа от 09.02.2021,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(исполнитель) заключен государственный контракт от 26.11.2019 на выполнение работ по созданию информационной системы визуализации центрального архива медицинских изображений Министерства здравоохранения Российской Федерации. Учитывая, что исполнитель не приступил к исполнению контракта надлежащим образом, заказчиком принято решение от 17.02.2020 об одностороннем отказе от его исполнения. В обоснование иска общество ссылается на то, что работы по контракту выполнены в полном объеме; односторонний отказ от контракта на конечной стадии его исполнения не является целесообразным, не отвечает целям законодательства о контрактной системе; заказчик обязан оплатить исполнителю фактически выполненные работы. Исследовав и оценив представленные в материалы дела доказательства по правилам главы 7 Арбитражного процессуального кодекса Российской Федерации, суды, руководствуясь положениями статей 10, 309, 310, 702, 715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об отсутствии оснований для удовлетворения иска. При этом судебные инстанции исходили из того, что заказчик не чинил обществу препятствий в исполнении контракта, а оказывал содействие; исполнитель не предпринял меры, направленные на устранение выявленных в ходе исполнения контракта недостатков, контракт не исполнил. Обстоятельства данного спора и представленные доказательства были предметом рассмотрения и оценки судов. Несогласие заявителя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Федерации. Судами не допущено существенного нарушения норм материального права, а также требований процессуального законодательства, повлиявших на исход судебного разбирательства. 3 Определением Верховного Суда Российской Федерации от 21.04.2021 обществу предоставлена отсрочка по уплате государственной пошлины за подачу кассационной жалобы. Поскольку производство по рассмотрению кассационной жалобы общества завершено, государственная пошлина с учетом положений статей 333.21, 333.22 Налогового кодекса Российской Федерации и статей 102, 110 Арбитражного процессуального кодекса Российской Федерации подлежит взысканию с заявителя в доход федерального бюджета.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«Медфлагман»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общества с ограниченной ответственностью «Медфлагман» в доход федерального бюджета 3 000 (три тысячи) рублей государственной пошлины за подачу кассационной жалобы. Арбитражному суду города Москвы выдать исполнительный лист.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