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03.06.2020, оставленным без изменения постановлением Четырнадцатого арбитражного апелляционного суда от 12.10.2020 и постановлением Арбитражного суда Северо-Западного округа от 16.02.2021,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23.04.2019 на официальном сайте размещено извещение № 0124300012719000114 о проведении электронного аукциона и документация об электронном аукционе на право заключения муниципального контракта на выполнение работ по благоустройству дворовой территории многоквартирного дома. По результатам указанного аукциона комитетом (заказчиком) и обществом (победителем аукциона) заключен муниципальный контракт от 03.06.2019 № 0114-19-КЖКХ на выполнение работ по благоустройству дворовой территории многоквартирного дома, пунктом 2.1 которого общество обязано было выполнить работы в срок до 01.10.2019. В связи с тем, что общество на 23.07.2019 не приступило к исполнению работ по контракту, комитет принял решение об одностороннем отказе от его исполнения и обратился в управление с заявлением о включении сведений в отношении общества в реестр недобросовестных поставщиков. Решением управления от 13.08.2019 сведения, представленные в отношении общества, включены в реестр недобросовестных поставщиков. Не согласившись с решением управления, заявитель обратился в арбитражный суд. Исследовав и оценив представленные в материалы дела доказательства, суд первой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«О порядке ведения реестра недобросовестных поставщиков (подрядчиков, исполнителей)» от 25.11.2013 4 А05-13764/2019 № 1062,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заявителя. Суды апелляционной инстанции и округа поддержали выводы суда. Судебные инстанции исходили из доказанности уклонения общества от исполнения контракта. 3 Так, на основании акта приема-передачи от 05.06.2019 № 011-2017 проектная документация была передана подрядчику. Письмами от 10.06.2019 № 6/2019 и от 19.06.2019 № 10/2019 подрядчик направил в адрес заказчика на согласование локальный ресурсный сметный расчет на благоустройство дворовой территории. Данный расчет комитет не согласовал ввиду наличия недостатков, отправив его обществу на доработку. Доказательств устранения выявленных заказчиком недостатков в указанном сметном расчете обществом не представлено. При отсутствии доказательств своевременности принятия обществом соответствующих мер, направленных на исполнение контракта, суды согласились с выводами антимонопольного органа о том, что обществом не проявлена должная степень заботливости и осмотрительности, которая требовалась от него как участника и победителя аукциона.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«СПО Уровень»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