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Кадиев Тимур Ахмедович обратился в суд с заявлением о намерении погасить требования кредиторов, включенные в реестр требований кредиторов должника. Определением Арбитражного суда города Москвы от 14.12.2020, оставленным без изменения постановлением Девятого арбитражного апелляционного суда от 04.03.2021, в удовлетворении заявления Кадиева Т.А. отказано. В кассационной жалобе, поданной в Верховный Суд Российской Федерации, заявитель просит исключить из мотивировочной части постановления апелляционного суда вывод о погашении требований Липочкна А.В., отменить указанные судебные акты,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113 и 125 Федерального закона от 26.10.2002 № 127-ФЗ «О несостоятельности (банкротстве)», исходили из того, что все требования кредиторов, включенные в реестр требований кредиторов должника, были удовлетворены за счёт средств конкурсной массы.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Липочкину Александру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