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Балятина Г.Г. обратилась в суд с заявлением о признании незаконным действий арбитражного управляющего Курочкина Андрея Анатольевича в период осуществления им полномочий конкурсного управляющего должником по ненадлежащему проведению государственной регистрации права собственности должника на нежилые здания площадью 74,9 кв. м., с кадастровым номером 21:01:020703:891 и площадью 296 кв. м., с кадастровым номером 21:01:020703:281, а также о признании незаконным бездействия, выразившегося в невключении указанных зданий в состав первого лота по продаже имущества должника. Просила взыскать с Курочкина А.А. в конкурсную массу должника 5 910 264 рубля 90 копеек убытков. Определением Арбитражного суда Чувашской Республики – Чувашии от 23.09.2020, оставленным без изменения постановлениями Первого арбитражного апелляционного суда от 01.12.2020 и Арбитражного суда Волго- Вятского округа от 18.02.2021,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 и 129 Федерального закона от 26.10.2002 № 127-ФЗ «О несостоятельности (банкротстве)», пришли к обоснованному выводу об отсутствии оснований для удовлетворения заявления ввиду недоказанности наличия в действиях Курочкина А.А. вменяемых ему нарушений прав кредиторов должника и законодательства о несостоятельности.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Балятиной Галине Гавриловне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