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и Клоков А.И. обратились в суд с заявлениями, впоследствии объединёнными в одно производство для совместного рассмотрения, о признании недействительными сделок – договоров уступки требования (цессии) от 30.09.2015 № 150, от 30.09.2015 № 151, от 29.10.2015, от 27.11.2015, от 28.12.2015; просили применить последствия недействительности указанных сделок. Определением Арбитражного суда Липецкой области от 09.04.2020 и дополнительным определением от 14.08.2020, оставленным без изменения постановлениями Девятнадцатого арбитражного апелляционного суда от 02.12.2020 и Арбитражного суда Центрального округа от 03.03.2031, удовлетворены требования о признании сделок недействительными, применены последствия недействительности сделок в виде взыскания с открытого акционерного общества «Строительная организация «Добровская» (далее – общество «СО «Добровская») в пользу должника денежных средств в сумме 13 386 400 рублей, отказано в удовлетворении требований о применении последствий недействительности сделок в виде взыскания с областного государственного унитарного предприятия 2 «Липецкдоравтоцентр» (далее – предприятие «Липецкдоравтоцентр») в пользу должника денежных средств в сумме 13 386 400 рублей, а также взыскания с общества «СО «Добровская» в пользу предприятия «Липецкдоравтоцентр» денежных средств в сумме 13 386 400 рублей. В кассационной жалобе, поданной в Верховный Суд Российской Федерации, заявитель просит изменить указанное определение в части применения последствий недействительности сделок, отменить постановления судов апелляционной инстанции и округа,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61.6 Федерального закона от 26.10.2002 № 127-ФЗ «О несостоятельности (банкротстве)», пришли к выводу о недоказанности причин для удовлетворения требований о применении иных последствий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«Агродорстрой» Клокову Александру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