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учреждение обратилось в суд с заявлением о включении в третью очередь реестра требований кредиторов должника 2 405 801 рублей 88 копеек задолженности, обеспеченной залогом имущества должника – квартирой общей площадью 95,5 кв.м, 1 этаж, расположенной по адресу: Челябинская обл., г. Озёрск, пр-т Победы, д. 43, кв. 1, кадастровый номер 74:41:0101007:279. Определением Арбитражного суда Челябинской области от 31.08.2020 заявление удовлетворено. Постановлением Восемнадцатого арбитражного апелляционного суда от 19.11.2020, оставленным без изменения постановлением Арбитражного суда Уральского округа от 24.02.2021, отменено определение суда первой инстанции от 31.08.2020, отказано в удовлетворении заявления.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заявление удовлетворить.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апелляционный суд, руководствуясь положениями Федерального закона от 27.05.1998 № 76-ФЗ «О статусе военнослужащих» и Федерального закона от 20.08.2004 № 117-ФЗ «О накопительно-ипотечной системе жилищного обеспечения военнослужащих», пришел к выводу об отсутствии причин для удовлетворения требований по заявленным учреждением основаниям.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казенному учреждению «Федеральное управление накопительно-ипотечной системы жилищного обеспечения военнослужащих»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