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02.09.2020 (с учетом определения суда от 29.09.2020 об исправлении опечаток), оставленным без изменения постановлением Семнадцатого арбитражного апелляционного суда от 13.11.2020, в удовлетворении заявленных требований отказано. 2 Постановлением Арбитражного суда Уральского округа от 10.03.2021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38, 84, 106 Таможенного кодекса Евразийского экономического союза, суды пришли к выводу о наличии в действиях общества состава правонарушения, ответственность за которое предусмотрена частью 2 статьи 16.2 Кодекса Российской Федерации об административных правонарушениях, признав факт заявления недостоверных сведений о товарах, повлекшем занижение размера подлежащих уплате таможенных пошлин, налогов. Вина общества в совершении вмененного правонарушения доказана, процедура привлечения к административной ответственности не нарушена, срок давности привлечения к ответственности соблюден. Доводы общества были предметом исследования судов и получили исчерпывающую правовую оценку с учетом отсутствия доказательств, подтверждающих факт отнесения спорного товара к оборудованию, введенному в эксплуатацию и использованному резидентом свободной экономической зоны в целях осуществления своей основной деятельности,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