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22.07.2020, оставленным без изменения постановлением Девятого арбитражного апелляционного суда от 16.11.2020, заявленное требование удовлетворено. Постановлением Арбитражного суда Московского округа от 31.03.2021 указанные судебные акты отменены, дело направлено на новое рассмотрение в Арбитражный суд города Москвы. 2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исследовать и оценить представленные доказательства, дополнительно выяснить обстоятельства, имеющие значение для правильного рассмотрения дела, и с учетом установленных обстоятельств принять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3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