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13.08.2020, оставленным без изменения постановлением Одиннадцатого арбитражного апелляционного суда от 19.11.2020 и постановлением Арбитражного суда Поволжского округа от 11.03.2021, заявленные требования удовлетворены. В кассационной жалобе, поданной в Верховный Суд Российской Федерации, министерство, ссылаясь на существенное нарушение судами норм права, просит отменить судебные акты и отказать в удовлетворении заявления.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 и установлено судами, министерство отказало территориальному отделу управления в принятии к исполнению постановлений о назначении административных наказаний, вынесенных в отношении бюджетных учреждений Самарской области, о чем сообщило в письме от 04.12.2019 № МФ-1307/2430. Возвращая постановления без исполнения, министерство указало, что они не подлежат исполнению, поскольку не являются исполнительными документами. Не согласившись с указанными действиями министерства, управление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Бюджетного кодекса Российской Федерации, Федерального закона от 08.05.2010 № 83-ФЗ «О внесении изменений в отдельные законодательные акты РФ в связи с совершенствованием правового положения государственных (муниципальных) учреждений», Кодекса Российской Федерации об административных правонарушениях Российской Федерации, Федерального закона от 02.10.2007 № 229-ФЗ «Об исполнительном производстве» (далее - Закон об исполнительном производстве), пришли к выводу о том, что отказ министерства в принятии к исполнению предъявленных управлением документов является незаконным, с чем согласился суд округа. Судебные инстанции исходили из того, что постановления административного органа относятся к числу исполнительных документов, подлежащих исполнению органами казначейства (статья 12 Федерального закона об исполнительном производстве). Кроме того, как указали суды, образовательные учреждения, в отношении которых вынесены указанные постановления, являются бюджетными, финансирование их деятельности осуществляется за счет бюджетных средств через лицевые счета, открытые в министерстве, в связи с чем отказ от исполнения постановлений о назначении административных наказаний нарушает экономические интересы управления как администратора доходов 3 федерального бюджета от поступления денежных взысканий (штрафов) за нарушение законодательства Российской Федерации. Доводы жалобы являлись предметом рассмотрения судов и им дана надлежащая правовая оценка. Приведенные заявителем доводы, в том числе об исполнении бюджетными организациями в добровольном порядке спорных постановлений, не свидетельствуют о существенных нарушениях норм материального и процессуального права, которые повлияли на исход дела, основаны на ином толковании норм бюджетного законодательства,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управления финансами Самарской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