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28.10.2020, оставленным без изменения постановлением Девятого арбитражного апелляционного суда от 13.01.2021, в удовлетворении заявленного требования отказано. 2 Постановлением Арбитражного суда Московского округа от 23.03.2021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375, 378.2 Налогового кодекса Российской Федерации, статьи 3 Федерального закона от 29.07.1998 № 135-ФЗ «Об оценочной деятельности в Российской Федерации», суды отказали в удовлетворении заявленных требований, признав, что применение для целей налогообложения стоимости, отличной от кадастровой стоимости, содержащейся в государственном реестре, действующим законодательством не предусмотрено. Доводы кассационной жалобы были предметом исследования судов и получили исчерпывающую правовую оценку с учетом установленного законодательством порядка пересмотра результатов определения кадастровой стоимости, не согласиться с которой оснований не имеется. 3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