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задолженности в размере 1 483 899 рублей 71 копейки. Определением Арбитражного суда города Москвы от 16.09.2020, оставленным без изменения постановлениями Девятого арбитражного апелляционного суда от 26.11.2020 и Арбитражного суда Московского округа от 17.02.2021,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10, 361, 365, 367 Гражданского кодекса Российской Федерации, статьями 71, 100, 142 Федерального закона от 26.10.2002 № 127-ФЗ «О несостоятельности (банкротстве)», разъяснениями, приведёнными в постановлении Пленума Верховного Суда Российской Федерации от 24.12.2020 № 45 «О некоторых вопросах разрешения споров о поручительстве», исходили из того, что поручительство должника прекратилось к моменту обращения общества с настоящим заявлением, поданным с пропуском установленного законом срока в отсутствии уважительных причин, в связи с чем не установили правовых оснований для включения заявленного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«Союз-Ювелир»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