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в лице Инспекции Федеральной налоговой службы России № 25 по (далее – уполномоченный орган) обратилась в суд с заявлением о включении в реестр требований кредиторов должника (далее – реестр) её требования в размере 41 062 463 рубля 99 копеек. Определением Арбитражного суда города Москвы от 25.09.2020, оставленным без изменения постановлениями Девятого арбитражного апелляционного суда от 25.11.2020 и Арбитражного суда Московского округа от 23.03.2021,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16, 71, 100, 142 Федерального закона № 127-ФЗ от 26.10.2002 «О несостоятельности (банкротстве)», пунктами 10, 11, 14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 и исходили из доказанности наличия и размера непогашенной заявителем задолженности по уплате налогов и страховых взносов, соблюдения уполномоченным органом порядка и сроков взыскания и отсутствия оснований считать её безнадёжной.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индивидуальному предпринимателю Кесяну Артушу Амаяковичу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