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сделки – заключенного между должником и Антюшениной Л.Н. дополнительного соглашения от 23.05.2017 к договору поручительства от 24.04.2015 № 049/ДПФ-15. Определением Арбитражного суда города Москвы от 18.08.2020, оставленным без изменения постановлениями Девятого арбитражного апелляционного суда от 05.11.2020 и Арбитражного суда Московского округа от 10.03.2021, заявление удовлетворено.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174, 323, 363 Гражданского кодекса Российской Федерации, статьями 61.1, 189.40 Федерального закона от 26.10.2002 № 127-ФЗ «О несостоятельности (банкротстве)», установив наличие оснований для признания недействительной оспариваемой сделки по прекращению ранее действовавшего поручительства, заключенной со злоупотреблением правом и лишившей банк возможности возвращения заёмных денежных средств путём требования исполнения от поручителя, правомерно удовлетворили заявленные требования.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Антюшениной Людмиле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