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13.10.2020, оставленным без изменения постановлением Девятого арбитражного апелляционного суда от 16.12.2020, в удовлетворении заявленных требований отказано. Постановлением Арбитражного суда Московского округа от 30.03.2021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статей 388, 389, 393Таможенного кодекса Евразийского экономического союза, суды пришли к выводу о наличии в действиях общества состава правонарушения, ответственность за которое предусмотрена частью 2 статьи 16.2 Кодекса Российской Федерации об административных правонарушениях, признав факт заявления недостоверных сведений о товаре, повлекшем занижение размера подлежащих уплате таможенных пошлин, налогов. Вина общества в совершении вмененного правонарушения доказана, процедура привлечения к административной ответственности не нарушена, срок давности привлечения к ответственности соблюден. Доводы общества о неправильной классификации таможенным органом товара были предметом исследования судов и получили исчерпывающую правовую оценку исходя из установленных характеристик товара с учетом представленных при декларировании документов, решения таможенного органа о классификации спорного товара,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ПАО "Научно-производственная корпорация "Иркут" (подробнее) Ответчики: Саратовская таможня ФТС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