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жалобой на действия финансового управляющего имуществом должника Гвоздиковой Натальи Владимировны, выразившиеся в принятии ею 07.10.2019 решения об исключении из конкурсной массы должника принадлежащей ему доли в размере 1/4 в праве собственности на четырехкомнатную квартиру № 45 площадью 112,8 кв.м, расположенную по адресу: г. Санкт-Петербург, Каменоостровский пр., д. 9/2. Определением Арбитражного суда города Санкт-Петербурга и Ленинградской области от 11.09.2020, оставленным без изменения постановлениями Тринадцатого арбитражного апелляционного суда от 26.10.2020 и Арбитражного суда Северо-Западного округа от 16.02.2021,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признании жалобы необоснованной и неподлежащей удовлетворению.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20.3, 60, 213.25 Федерального закона от 26.10.2002 № 127-ФЗ «О несостоятельности (банкротстве)» и признали оспариваемые заявителем действия финансового управляющего соответствующими требованиям законодательства о банкротстве, разумными, направленными на обеспечение баланса интересов должника и его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Родионову Артуру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